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Review this document to learn about the diverse populations and how they might influence your college selection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you begin to explore college and university options, you may want to consider diverse populations at those you’re considering. 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What Populations are Considered Within the Area of Diversity</w:t>
      </w:r>
      <w:r w:rsidDel="00000000" w:rsidR="00000000" w:rsidRPr="00000000">
        <w:rPr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Diversity often means race and ethnicity, but many colleges and universities also include sexual identity and orientation, income level, first generation status, cultural background, and gender. </w:t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i w:val="1"/>
          <w:color w:val="11111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color w:val="111111"/>
          <w:sz w:val="28"/>
          <w:szCs w:val="28"/>
          <w:highlight w:val="white"/>
          <w:rtl w:val="0"/>
        </w:rPr>
        <w:t xml:space="preserve">Why is Diversity Important in Selecting a College?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You may want to enroll in a college with wide-ranging diversity so you can learn from those with backgrounds that are different from your own. Diversity allows for different worldviews, allowing you to see and hear a variety of perspectives.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i w:val="1"/>
          <w:color w:val="11111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color w:val="111111"/>
          <w:sz w:val="28"/>
          <w:szCs w:val="28"/>
          <w:highlight w:val="white"/>
          <w:rtl w:val="0"/>
        </w:rPr>
        <w:t xml:space="preserve">How To Determine Diversity Levels at Colleges You’re Exploring?</w:t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You can check websites to learn percentages of students representing various racial and ethnic groups at institutions you’re considering. Most colleges offer a “facts” page on the web that includes student body information, faculty information, and overall campus demographics. You will likely be able to determine levels of diversity from these pages.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In addition, when you explore campus organizations on websites, you will likely see groups that are welcoming to a diverse student body. One or more of these groups may have been established to reach out to students in areas such as: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55.0" w:type="dxa"/>
        <w:jc w:val="left"/>
        <w:tblInd w:w="1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3075"/>
        <w:tblGridChange w:id="0">
          <w:tblGrid>
            <w:gridCol w:w="3180"/>
            <w:gridCol w:w="3075"/>
          </w:tblGrid>
        </w:tblGridChange>
      </w:tblGrid>
      <w:tr>
        <w:trPr>
          <w:trHeight w:val="461.7968749999999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Religion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Gender Identity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First Generation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Recreational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Racial, Ethnic,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Sexual Orientation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Career Interests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111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111111"/>
                <w:sz w:val="28"/>
                <w:szCs w:val="28"/>
                <w:highlight w:val="white"/>
                <w:rtl w:val="0"/>
              </w:rPr>
              <w:t xml:space="preserve">Other</w:t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color w:val="111111"/>
          <w:sz w:val="28"/>
          <w:szCs w:val="28"/>
          <w:highlight w:val="whit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450" w:top="1440" w:left="1080" w:right="117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Next Steps: </w:t>
      </w:r>
      <w:r w:rsidDel="00000000" w:rsidR="00000000" w:rsidRPr="00000000">
        <w:rPr>
          <w:i w:val="1"/>
          <w:sz w:val="28"/>
          <w:szCs w:val="28"/>
          <w:rtl w:val="0"/>
        </w:rPr>
        <w:t xml:space="preserve">Review college websites to get an understanding of the level of diversity available at each institution. Talk with admission representatives to learn more about the college’s commitment to diversity.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442595</wp:posOffset>
              </wp:positionV>
              <wp:extent cx="5969089" cy="495044"/>
              <wp:effectExtent b="0" l="0" r="0" t="0"/>
              <wp:wrapSquare wrapText="bothSides" distB="0" distT="0" distL="118745" distR="118745"/>
              <wp:docPr id="1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75" y="3644775"/>
                        <a:ext cx="5949900" cy="480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ACADEMIC PLANNING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_DIVERSE POPULATIONS: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SELECTING A COLLEGE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442595</wp:posOffset>
              </wp:positionV>
              <wp:extent cx="5969089" cy="495044"/>
              <wp:effectExtent b="0" l="0" r="0" t="0"/>
              <wp:wrapSquare wrapText="bothSides" distB="0" distT="0" distL="118745" distR="118745"/>
              <wp:docPr id="19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495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736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273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273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736D"/>
  </w:style>
  <w:style w:type="paragraph" w:styleId="Footer">
    <w:name w:val="footer"/>
    <w:basedOn w:val="Normal"/>
    <w:link w:val="FooterChar"/>
    <w:uiPriority w:val="99"/>
    <w:unhideWhenUsed w:val="1"/>
    <w:rsid w:val="00D273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736D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D274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5626AD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733BE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7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771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77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7719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77193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719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719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B6PLj31uvHRbd/XcrKbq/DdcA==">AMUW2mWYdgI+5HAjDSh4P0Gj1Ah1zmn2oo0dFriRVRq3axDdmC5tJwsfWH3aI2R7JuStJw79heasjr9Rj0mV19vddEUbPJKNYB2+VlqoHJ/ilFlZT34wsRA=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2020-09-27T16:06:00Z</dcterms:created>
  <dc:creator>Erin Hall-Singleton</dc:creator>
</cp:coreProperties>
</file>